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Mark Exhibit for Witness Examination a matter involving disputed documents or records</w:t>
      </w:r>
    </w:p>
    <w:p>
      <w:pPr>
        <w:spacing w:before="0" w:after="160" w:line="269" w:lineRule="auto"/>
        <w:jc w:val="center"/>
      </w:pPr>
      <w:r>
        <w:rPr>
          <w:rFonts w:ascii="Times New Roman" w:hAnsi="Times New Roman"/>
          <w:b w:val="0"/>
          <w:i w:val="0"/>
          <w:color w:val="000000"/>
          <w:sz w:val="18"/>
        </w:rPr>
        <w:t>BSA Law drafts  |  Witness Examination  |  Resource ID LAW-03-06-047</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mark exhibit to identify the proposed material, its relevance, source, authenticity and method of proof, with a fair opportunity for objection in a matter concerning Witness Examination.</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 Examination,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LAW-03-06-047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Mark Exhibit for Witness Examination a matter involving disputed documents or records</dc:title>
  <dc:subject>Original editable Indian legal drafting framework</dc:subject>
  <dc:creator>Legal Resource Library</dc:creator>
  <cp:keywords>BSA Law drafts; Witness Examination;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